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2E" w:rsidRPr="001E6E2E" w:rsidRDefault="001E6E2E" w:rsidP="001E6E2E">
      <w:pPr>
        <w:widowControl/>
        <w:shd w:val="clear" w:color="auto" w:fill="FFFFFF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r w:rsidRPr="001E6E2E">
        <w:rPr>
          <w:rFonts w:ascii="宋体" w:eastAsia="宋体" w:hAnsi="宋体" w:cs="宋体" w:hint="eastAsia"/>
          <w:b/>
          <w:bCs/>
          <w:color w:val="444444"/>
          <w:kern w:val="0"/>
          <w:sz w:val="32"/>
          <w:szCs w:val="32"/>
          <w:shd w:val="clear" w:color="auto" w:fill="FFFFFF"/>
        </w:rPr>
        <w:t>未来领导人项目</w:t>
      </w:r>
    </w:p>
    <w:p w:rsidR="00E1355A" w:rsidRDefault="001E6E2E" w:rsidP="00E1355A">
      <w:pPr>
        <w:widowControl/>
        <w:shd w:val="clear" w:color="auto" w:fill="FFFFFF"/>
        <w:spacing w:line="360" w:lineRule="auto"/>
        <w:rPr>
          <w:rFonts w:ascii="Tahoma" w:eastAsia="宋体" w:hAnsi="Tahoma" w:cs="Tahoma" w:hint="eastAsia"/>
          <w:color w:val="444444"/>
          <w:kern w:val="0"/>
          <w:szCs w:val="21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公司介绍：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苏州星诺奇科技股份有限公司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,</w:t>
      </w:r>
      <w:r w:rsidRPr="001E6E2E">
        <w:rPr>
          <w:rFonts w:ascii="Tahoma" w:eastAsia="宋体" w:hAnsi="Tahoma" w:cs="Tahoma"/>
          <w:color w:val="444444"/>
          <w:kern w:val="0"/>
        </w:rPr>
        <w:t> 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新晋苏州市独角兽企业，公司总部位于苏州工业园区。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2010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年成立，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7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年以来年复合增长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50%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，在汽车行业、消费电子行业、工业控制及其他精密传动系统领域，为世界级著名企业提供精密传动系统的整体解决方案。为满足未来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1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年上市后的业务扩张，公司启动“未来领导人”项目，用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3~5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年时间，培养出下一代核心高管，为此，董事长将亲自指导，并提供有竞争力的薪资，和直线晋升通道，期待师弟师妹们加入！</w:t>
      </w:r>
    </w:p>
    <w:p w:rsidR="00E1355A" w:rsidRDefault="001E6E2E" w:rsidP="00E1355A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发展前景：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董事长亲自指导，布局战略增长点，有机会成为战略储备项目负责人，有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3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大红利：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1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、上市后，业务快速扩张；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2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、产业链全球化布局，在欧洲设立研发中心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,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在国内</w:t>
      </w:r>
      <w:r w:rsidRPr="001E6E2E">
        <w:rPr>
          <w:rFonts w:ascii="宋体" w:eastAsia="宋体" w:hAnsi="宋体" w:cs="宋体" w:hint="eastAsia"/>
          <w:color w:val="1F497D"/>
          <w:kern w:val="0"/>
          <w:szCs w:val="21"/>
          <w:shd w:val="clear" w:color="auto" w:fill="FFFFFF"/>
        </w:rPr>
        <w:t>建设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国家重点实验室；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3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、已启动的工业互联网项目，面向垂直行业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1000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亿市场。</w:t>
      </w:r>
    </w:p>
    <w:p w:rsidR="00E1355A" w:rsidRDefault="001E6E2E" w:rsidP="00E1355A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岗位：</w:t>
      </w:r>
      <w:proofErr w:type="gramStart"/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管培生</w:t>
      </w:r>
      <w:proofErr w:type="gramEnd"/>
    </w:p>
    <w:p w:rsidR="00E1355A" w:rsidRDefault="001E6E2E" w:rsidP="00E1355A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人数：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5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人</w:t>
      </w:r>
    </w:p>
    <w:p w:rsidR="001E6E2E" w:rsidRPr="001E6E2E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Calibri" w:eastAsia="宋体" w:hAnsi="Calibri" w:cs="宋体"/>
          <w:color w:val="000000"/>
          <w:kern w:val="0"/>
          <w:szCs w:val="21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不限制专业，欢迎一切优秀人才前来，尤其欢迎机械类、材料类及相关专业的优秀人才。短期内培养为具备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“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企业家特质的领导人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”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，合伙人，使共同事业指数式发展。</w:t>
      </w:r>
    </w:p>
    <w:p w:rsidR="00E1355A" w:rsidRDefault="001E6E2E" w:rsidP="00E1355A">
      <w:pPr>
        <w:widowControl/>
        <w:shd w:val="clear" w:color="auto" w:fill="FFFFFF"/>
        <w:spacing w:line="360" w:lineRule="auto"/>
        <w:ind w:firstLineChars="200" w:firstLine="420"/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人才要求：自信，独立，以终为始。</w:t>
      </w:r>
    </w:p>
    <w:p w:rsidR="001E6E2E" w:rsidRPr="001E6E2E" w:rsidRDefault="001E6E2E" w:rsidP="00E1355A">
      <w:pPr>
        <w:widowControl/>
        <w:shd w:val="clear" w:color="auto" w:fill="FFFFFF"/>
        <w:spacing w:line="360" w:lineRule="auto"/>
        <w:ind w:firstLine="210"/>
        <w:rPr>
          <w:rFonts w:ascii="Calibri" w:eastAsia="宋体" w:hAnsi="Calibri" w:cs="宋体"/>
          <w:color w:val="000000"/>
          <w:kern w:val="0"/>
          <w:szCs w:val="21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流程：</w:t>
      </w:r>
    </w:p>
    <w:p w:rsidR="001E6E2E" w:rsidRPr="001E6E2E" w:rsidRDefault="001E6E2E" w:rsidP="00E1355A">
      <w:pPr>
        <w:widowControl/>
        <w:shd w:val="clear" w:color="auto" w:fill="FFFFFF"/>
        <w:spacing w:line="360" w:lineRule="auto"/>
        <w:ind w:left="780"/>
        <w:rPr>
          <w:rFonts w:ascii="Calibri" w:eastAsia="宋体" w:hAnsi="Calibri" w:cs="宋体"/>
          <w:color w:val="000000"/>
          <w:kern w:val="0"/>
          <w:szCs w:val="21"/>
        </w:rPr>
      </w:pPr>
      <w:r w:rsidRPr="001E6E2E">
        <w:rPr>
          <w:rFonts w:ascii="Tahoma" w:eastAsia="宋体" w:hAnsi="Tahoma" w:cs="Tahoma"/>
          <w:color w:val="444444"/>
          <w:kern w:val="0"/>
          <w:szCs w:val="21"/>
        </w:rPr>
        <w:t>1</w:t>
      </w:r>
      <w:r w:rsidRPr="001E6E2E">
        <w:rPr>
          <w:rFonts w:ascii="Tahoma" w:eastAsia="宋体" w:hAnsi="Tahoma" w:cs="Tahoma"/>
          <w:color w:val="444444"/>
          <w:kern w:val="0"/>
          <w:szCs w:val="21"/>
        </w:rPr>
        <w:t>、</w:t>
      </w:r>
      <w:r w:rsidRPr="001E6E2E">
        <w:rPr>
          <w:rFonts w:ascii="Times New Roman" w:eastAsia="宋体" w:hAnsi="Times New Roman" w:cs="Times New Roman"/>
          <w:color w:val="444444"/>
          <w:kern w:val="0"/>
          <w:sz w:val="14"/>
          <w:szCs w:val="14"/>
        </w:rPr>
        <w:t>   </w:t>
      </w:r>
      <w:r w:rsidRPr="001E6E2E">
        <w:rPr>
          <w:rFonts w:ascii="Times New Roman" w:eastAsia="宋体" w:hAnsi="Times New Roman" w:cs="Times New Roman"/>
          <w:color w:val="444444"/>
          <w:kern w:val="0"/>
          <w:sz w:val="14"/>
        </w:rPr>
        <w:t> 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内推渠道：笔试，董事长面试；</w:t>
      </w:r>
    </w:p>
    <w:p w:rsidR="001E6E2E" w:rsidRDefault="001E6E2E" w:rsidP="00E1355A">
      <w:pPr>
        <w:widowControl/>
        <w:shd w:val="clear" w:color="auto" w:fill="FFFFFF"/>
        <w:spacing w:line="360" w:lineRule="auto"/>
        <w:ind w:left="780"/>
        <w:rPr>
          <w:rFonts w:ascii="Verdana" w:eastAsia="宋体" w:hAnsi="Verdana" w:cs="宋体"/>
          <w:color w:val="666666"/>
          <w:kern w:val="0"/>
          <w:szCs w:val="21"/>
          <w:shd w:val="clear" w:color="auto" w:fill="FFFFFF"/>
        </w:rPr>
      </w:pPr>
      <w:r w:rsidRPr="001E6E2E">
        <w:rPr>
          <w:rFonts w:ascii="Tahoma" w:eastAsia="宋体" w:hAnsi="Tahoma" w:cs="Tahoma"/>
          <w:color w:val="444444"/>
          <w:kern w:val="0"/>
          <w:szCs w:val="21"/>
        </w:rPr>
        <w:t>2</w:t>
      </w:r>
      <w:r w:rsidRPr="001E6E2E">
        <w:rPr>
          <w:rFonts w:ascii="Tahoma" w:eastAsia="宋体" w:hAnsi="Tahoma" w:cs="Tahoma"/>
          <w:color w:val="444444"/>
          <w:kern w:val="0"/>
          <w:szCs w:val="21"/>
        </w:rPr>
        <w:t>、</w:t>
      </w:r>
      <w:r w:rsidRPr="001E6E2E">
        <w:rPr>
          <w:rFonts w:ascii="Times New Roman" w:eastAsia="宋体" w:hAnsi="Times New Roman" w:cs="Times New Roman"/>
          <w:color w:val="444444"/>
          <w:kern w:val="0"/>
          <w:sz w:val="14"/>
          <w:szCs w:val="14"/>
        </w:rPr>
        <w:t>   </w:t>
      </w:r>
      <w:r w:rsidRPr="001E6E2E">
        <w:rPr>
          <w:rFonts w:ascii="Times New Roman" w:eastAsia="宋体" w:hAnsi="Times New Roman" w:cs="Times New Roman"/>
          <w:color w:val="444444"/>
          <w:kern w:val="0"/>
          <w:sz w:val="14"/>
        </w:rPr>
        <w:t> </w:t>
      </w: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校园宣讲渠道：</w:t>
      </w:r>
      <w:r w:rsidRPr="001E6E2E">
        <w:rPr>
          <w:rFonts w:ascii="宋体" w:eastAsia="宋体" w:hAnsi="宋体" w:cs="宋体" w:hint="eastAsia"/>
          <w:color w:val="666666"/>
          <w:kern w:val="0"/>
          <w:szCs w:val="21"/>
          <w:shd w:val="clear" w:color="auto" w:fill="FFFFFF"/>
        </w:rPr>
        <w:t>简历筛选→笔试→一面→二面→发出</w:t>
      </w:r>
      <w:r w:rsidRPr="001E6E2E">
        <w:rPr>
          <w:rFonts w:ascii="Verdana" w:eastAsia="宋体" w:hAnsi="Verdana" w:cs="宋体"/>
          <w:color w:val="666666"/>
          <w:kern w:val="0"/>
          <w:szCs w:val="21"/>
          <w:shd w:val="clear" w:color="auto" w:fill="FFFFFF"/>
        </w:rPr>
        <w:t>offer</w:t>
      </w:r>
    </w:p>
    <w:p w:rsidR="00E1355A" w:rsidRDefault="001E6E2E" w:rsidP="00E1355A">
      <w:pPr>
        <w:widowControl/>
        <w:shd w:val="clear" w:color="auto" w:fill="FFFFFF"/>
        <w:spacing w:line="360" w:lineRule="auto"/>
        <w:ind w:left="780"/>
        <w:rPr>
          <w:rFonts w:hint="eastAsia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简历投递：</w:t>
      </w:r>
      <w:hyperlink r:id="rId6" w:history="1">
        <w:r w:rsidRPr="001E6E2E">
          <w:rPr>
            <w:rFonts w:ascii="Tahoma" w:eastAsia="宋体" w:hAnsi="Tahoma" w:cs="Tahoma"/>
            <w:color w:val="336699"/>
            <w:kern w:val="0"/>
            <w:u w:val="single"/>
          </w:rPr>
          <w:t>hr-info@sinno-tech.com</w:t>
        </w:r>
      </w:hyperlink>
    </w:p>
    <w:p w:rsidR="00E1355A" w:rsidRDefault="001E6E2E" w:rsidP="00E1355A">
      <w:pPr>
        <w:widowControl/>
        <w:shd w:val="clear" w:color="auto" w:fill="FFFFFF"/>
        <w:spacing w:line="360" w:lineRule="auto"/>
        <w:ind w:left="780"/>
        <w:rPr>
          <w:rFonts w:ascii="Tahoma" w:eastAsia="宋体" w:hAnsi="Tahoma" w:cs="Tahoma" w:hint="eastAsia"/>
          <w:color w:val="444444"/>
          <w:kern w:val="0"/>
          <w:szCs w:val="21"/>
          <w:shd w:val="clear" w:color="auto" w:fill="FFFFFF"/>
        </w:rPr>
      </w:pPr>
      <w:r w:rsidRPr="001E6E2E">
        <w:rPr>
          <w:rFonts w:ascii="宋体" w:eastAsia="宋体" w:hAnsi="宋体" w:cs="宋体" w:hint="eastAsia"/>
          <w:color w:val="444444"/>
          <w:kern w:val="0"/>
          <w:szCs w:val="21"/>
          <w:shd w:val="clear" w:color="auto" w:fill="FFFFFF"/>
        </w:rPr>
        <w:t>联系方式：</w:t>
      </w:r>
      <w:r w:rsidRPr="001E6E2E">
        <w:rPr>
          <w:rFonts w:ascii="Tahoma" w:eastAsia="宋体" w:hAnsi="Tahoma" w:cs="Tahoma"/>
          <w:color w:val="444444"/>
          <w:kern w:val="0"/>
          <w:szCs w:val="21"/>
          <w:shd w:val="clear" w:color="auto" w:fill="FFFFFF"/>
        </w:rPr>
        <w:t>18768133863</w:t>
      </w:r>
    </w:p>
    <w:p w:rsidR="00E359AB" w:rsidRPr="001E6E2E" w:rsidRDefault="001E6E2E" w:rsidP="001E6E2E">
      <w:pPr>
        <w:widowControl/>
        <w:shd w:val="clear" w:color="auto" w:fill="FFFFFF"/>
        <w:ind w:left="780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Tahoma" w:eastAsia="宋体" w:hAnsi="Tahoma" w:cs="Tahoma"/>
          <w:noProof/>
          <w:color w:val="444444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4248150" cy="9525000"/>
            <wp:effectExtent l="19050" t="0" r="0" b="0"/>
            <wp:docPr id="1" name="图片 4" descr="cid:image003.jpg@01D449C0.DAF27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3.jpg@01D449C0.DAF27BE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9AB" w:rsidRPr="001E6E2E" w:rsidSect="00E3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DF" w:rsidRDefault="00C114DF" w:rsidP="001E6E2E">
      <w:r>
        <w:separator/>
      </w:r>
    </w:p>
  </w:endnote>
  <w:endnote w:type="continuationSeparator" w:id="0">
    <w:p w:rsidR="00C114DF" w:rsidRDefault="00C114DF" w:rsidP="001E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DF" w:rsidRDefault="00C114DF" w:rsidP="001E6E2E">
      <w:r>
        <w:separator/>
      </w:r>
    </w:p>
  </w:footnote>
  <w:footnote w:type="continuationSeparator" w:id="0">
    <w:p w:rsidR="00C114DF" w:rsidRDefault="00C114DF" w:rsidP="001E6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E2E"/>
    <w:rsid w:val="001E6E2E"/>
    <w:rsid w:val="00332044"/>
    <w:rsid w:val="00953294"/>
    <w:rsid w:val="00C114DF"/>
    <w:rsid w:val="00CD23AE"/>
    <w:rsid w:val="00E1355A"/>
    <w:rsid w:val="00E35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E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E2E"/>
    <w:rPr>
      <w:sz w:val="18"/>
      <w:szCs w:val="18"/>
    </w:rPr>
  </w:style>
  <w:style w:type="character" w:customStyle="1" w:styleId="apple-converted-space">
    <w:name w:val="apple-converted-space"/>
    <w:basedOn w:val="a0"/>
    <w:rsid w:val="001E6E2E"/>
  </w:style>
  <w:style w:type="paragraph" w:styleId="a5">
    <w:name w:val="List Paragraph"/>
    <w:basedOn w:val="a"/>
    <w:uiPriority w:val="34"/>
    <w:qFormat/>
    <w:rsid w:val="001E6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E6E2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E6E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6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-info@sinno-tec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clxtw</dc:creator>
  <cp:keywords/>
  <dc:description/>
  <cp:lastModifiedBy>clxtw</cp:lastModifiedBy>
  <cp:revision>3</cp:revision>
  <dcterms:created xsi:type="dcterms:W3CDTF">2018-11-27T06:06:00Z</dcterms:created>
  <dcterms:modified xsi:type="dcterms:W3CDTF">2018-11-27T06:19:00Z</dcterms:modified>
</cp:coreProperties>
</file>